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Tee nr. </w:t>
            </w:r>
            <w:r>
              <w:rPr>
                <w:rtl w:val="0"/>
              </w:rPr>
              <w:t xml:space="preserve">25179 Vakari-Pari-Tsiistre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5,5 - 8,2</w:t>
            </w:r>
            <w:r>
              <w:rPr>
                <w:rtl w:val="0"/>
              </w:rPr>
              <w:t xml:space="preserve"> km)</w:t>
            </w:r>
            <w:r>
              <w:rPr>
                <w:rtl w:val="0"/>
                <w:lang w:val="en-US"/>
              </w:rPr>
              <w:t xml:space="preserve"> ning tee nr 25218 M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 xml:space="preserve">e-Suhka - Puspuri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0,0 - 0,3</w:t>
            </w:r>
            <w:r>
              <w:rPr>
                <w:rtl w:val="0"/>
              </w:rPr>
              <w:t xml:space="preserve"> km)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del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nr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25179 Vakari-Pari-Tsiistre (5,5 - 8,2 km) ning nr 25218 M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e-Suhka - Puspuri (0,0 - 0,3 km) plaanitakse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augustil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2025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 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eva pikkus on 10:00-1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216" w:hanging="216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